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auto"/>
        <w:rPr>
          <w:rFonts w:hint="default" w:ascii="Times New Roman" w:hAnsi="Times New Roman" w:eastAsia="仿宋_GB2312"/>
          <w:kern w:val="0"/>
          <w:sz w:val="31"/>
          <w:szCs w:val="31"/>
          <w:lang w:val="en-US" w:eastAsia="zh-CN"/>
        </w:rPr>
      </w:pPr>
      <w:r>
        <w:rPr>
          <w:rFonts w:hint="eastAsia" w:ascii="Times New Roman" w:hAnsi="Times New Roman" w:eastAsia="仿宋_GB2312"/>
          <w:kern w:val="0"/>
          <w:sz w:val="31"/>
          <w:szCs w:val="31"/>
          <w:lang w:val="en-US" w:eastAsia="zh-CN"/>
        </w:rPr>
        <w:t>附件：标杆企业简介</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微软雅黑" w:eastAsia="方正小标宋简体"/>
          <w:b/>
          <w:sz w:val="44"/>
          <w:szCs w:val="44"/>
          <w:lang w:val="en-US" w:eastAsia="zh-CN"/>
        </w:rPr>
      </w:pPr>
    </w:p>
    <w:p>
      <w:pPr>
        <w:widowControl/>
        <w:spacing w:line="660" w:lineRule="exact"/>
        <w:jc w:val="center"/>
        <w:rPr>
          <w:rFonts w:hint="eastAsia" w:ascii="方正小标宋简体" w:hAnsi="微软雅黑" w:eastAsia="方正小标宋简体"/>
          <w:b/>
          <w:sz w:val="44"/>
          <w:szCs w:val="44"/>
          <w:lang w:val="en-US" w:eastAsia="zh-CN"/>
        </w:rPr>
      </w:pPr>
      <w:r>
        <w:rPr>
          <w:rFonts w:hint="eastAsia" w:ascii="方正小标宋简体" w:hAnsi="微软雅黑" w:eastAsia="方正小标宋简体"/>
          <w:b/>
          <w:sz w:val="44"/>
          <w:szCs w:val="44"/>
          <w:lang w:val="en-US" w:eastAsia="zh-CN"/>
        </w:rPr>
        <w:t>银隆新能源股份有限公司</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微软雅黑" w:eastAsia="方正小标宋简体"/>
          <w:b/>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18"/>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sz w:val="32"/>
          <w:szCs w:val="32"/>
          <w:lang w:val="en-US" w:eastAsia="zh-CN"/>
        </w:rPr>
        <w:t>银隆新能源股份有限公司</w:t>
      </w:r>
      <w:r>
        <w:rPr>
          <w:rFonts w:hint="eastAsia" w:ascii="Times New Roman" w:hAnsi="Times New Roman" w:eastAsia="仿宋_GB2312"/>
          <w:kern w:val="0"/>
          <w:sz w:val="32"/>
          <w:szCs w:val="32"/>
          <w:lang w:val="en-US" w:eastAsia="zh-CN"/>
        </w:rPr>
        <w:t>成立于2008年，是一家集钛酸锂核心材料、电池、电机电控、充电设备、智能储能系统、纯电动整车研发、生产、销售以及动力电池回收梯次利用为一体的全球综合性新能源产业集团。公司以科技创新为核心，打造新能源闭合式循环产业链，旗下拥有广通汽车、奥钛储能两大品牌，总部位于珠海。银隆新能源自2009年产业化投资以来，誓力打造以锂电池材料供应、锂电池研发、生产、销售为核心，延伸到电动汽车动力总成及整车的研发、生产、销售，智能电网调峰调频系统的研发、生产、销售、技术为一体的新能源闭合式循环产业链。锂电池材料供应、锂电池、电动汽车动力总成及整车的研发、生产、销售。公司以6+1的研发体系，加快技术创新与产业升级的步伐。在全球拥有材料研究院、电视研究院、商用/专用车研究院、电池应用及工艺研究院、储能系统研究研、燃料电池研究院等6个研究院和1个省级技术中心。公司先后获得“中国民营企业制造业500强”、“广东省百强民营企业”、“广东省知识产权优势企业”、“全国质量信得过产品”等荣誉。以科技推动发展，以创新改变未来，银隆新能源将继续坚持“与绿色同行”，引领行业走向可持续发展的未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简体" w:hAnsi="微软雅黑" w:eastAsia="方正小标宋简体"/>
          <w:b/>
          <w:sz w:val="44"/>
          <w:szCs w:val="44"/>
          <w:lang w:val="en-US" w:eastAsia="zh-CN"/>
        </w:rPr>
      </w:pPr>
      <w:r>
        <w:rPr>
          <w:rFonts w:hint="eastAsia" w:ascii="Times New Roman" w:hAnsi="Times New Roman" w:eastAsia="仿宋_GB2312"/>
          <w:kern w:val="0"/>
          <w:sz w:val="32"/>
          <w:szCs w:val="32"/>
          <w:lang w:val="en-US" w:eastAsia="zh-CN"/>
        </w:rPr>
        <w:br w:type="page"/>
      </w:r>
      <w:r>
        <w:rPr>
          <w:rFonts w:hint="eastAsia" w:ascii="方正小标宋简体" w:hAnsi="微软雅黑" w:eastAsia="方正小标宋简体"/>
          <w:b/>
          <w:sz w:val="44"/>
          <w:szCs w:val="44"/>
          <w:lang w:val="en-US" w:eastAsia="zh-CN"/>
        </w:rPr>
        <w:t>汤臣倍健股份有限公司</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微软雅黑" w:eastAsia="方正小标宋简体"/>
          <w:b/>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18"/>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sz w:val="32"/>
          <w:szCs w:val="32"/>
          <w:lang w:val="en-US" w:eastAsia="zh-CN"/>
        </w:rPr>
        <w:t>汤臣倍健股份有限公司创立于1995年10月，2002年系统地将膳食营养补充剂引入中国非直销领域，并迅速成长为中国膳食营养补充剂领导品牌和标杆企业，2019年，年销量超过一亿件。2010年8月，国际篮球巨星姚明签约成为汤臣倍健的形象代言人，同年12月15日，汤臣倍健在深圳交易所创业板挂牌上市。2018年，汤臣倍健宣布收购澳大利亚益生菌品牌Life-Space。同年5月，汤臣倍健收购拜耳旗下具有70多年历史的儿童营养补充剂品牌Pentavite。汤臣倍健拥有专业的“透明工厂”，是技术先进、品控严格的膳食营养补充剂生产基地，与2019年正式开放的营养探索馆共同构成国家AAAA级旅游景区。透明工厂以阳光透明的态度，在行业内开放供各界参观。全球原料可追溯，生产过程全透明。汤臣倍健检测中心制定了多项高标准的检测项目，并拥有获得中国合格评定国家认可委员会（CNAS）认可的独立实验室，以严苛要求打造让人放心的高品质产品。汤臣倍健与全球10多个知名专业研究机构合作，拥有百万级数据库及个性化数据模型算法，建立了营养健康知识图谱与个性化营养素定制平台；引入欧盟历史批准的首个新健康声称的轻络素，开展新功能领域的研发。</w:t>
      </w:r>
    </w:p>
    <w:p>
      <w:bookmarkStart w:id="0" w:name="_GoBack"/>
      <w:bookmarkEnd w:id="0"/>
    </w:p>
    <w:sectPr>
      <w:headerReference r:id="rId3" w:type="default"/>
      <w:footerReference r:id="rId4" w:type="default"/>
      <w:footerReference r:id="rId5"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C07B0"/>
    <w:rsid w:val="1DEC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page number"/>
    <w:basedOn w:val="5"/>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2020-09-08T04:49:00Z</dcterms:created>
  <dc:creator>Administrator</dc:creator>
  <cp:lastModifiedBy>Administrator</cp:lastModifiedBy>
  <dcterms:modified xsi:type="dcterms:W3CDTF">2020-09-08T04:50:09Z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