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关于举办高新技术企业申报及日常管理政策培训班的通知</w:t>
      </w:r>
    </w:p>
    <w:p>
      <w:pPr>
        <w:adjustRightInd w:val="0"/>
        <w:snapToGrid w:val="0"/>
        <w:spacing w:line="58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各有关企业：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为规范提升我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32"/>
          <w:szCs w:val="32"/>
        </w:rPr>
        <w:t>高新技术企业日常监督管理，强化企业研发项目过程管理及研发费用的归集核算，使企业享受税收优惠政策，并降低企业的风险。我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会与韶关市科学技术局等单位联合</w:t>
      </w:r>
      <w:r>
        <w:rPr>
          <w:rFonts w:hint="eastAsia" w:ascii="仿宋" w:hAnsi="仿宋" w:eastAsia="仿宋" w:cs="仿宋"/>
          <w:kern w:val="0"/>
          <w:sz w:val="32"/>
          <w:szCs w:val="32"/>
        </w:rPr>
        <w:t>举办高新技术企业申报及日常管理政策培训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，具体事项通知如下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2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</w:rPr>
        <w:t>2021 年10月21日 14：00-17：30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2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韶关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碧桂园凤凰城威尼斯厅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2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参会人员：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广东省高新技术企业协会会员单位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520" w:lineRule="exact"/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韶关市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辖区内</w:t>
      </w:r>
      <w:r>
        <w:rPr>
          <w:rFonts w:hint="eastAsia" w:ascii="仿宋" w:hAnsi="仿宋" w:eastAsia="仿宋" w:cs="仿宋"/>
          <w:sz w:val="32"/>
          <w:szCs w:val="32"/>
        </w:rPr>
        <w:t>2022年到期重新认定高新技术企业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520" w:lineRule="exact"/>
        <w:ind w:firstLine="2880" w:firstLineChars="9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其他高新技术企业和科技型中小企业相关负责人或财务主管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20" w:lineRule="exact"/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组织单位：</w:t>
      </w:r>
    </w:p>
    <w:p>
      <w:pPr>
        <w:pStyle w:val="5"/>
        <w:spacing w:before="0" w:beforeAutospacing="0" w:after="0" w:afterAutospacing="0" w:line="520" w:lineRule="exact"/>
        <w:ind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主办单位：广东省高新技术企业协会</w:t>
      </w:r>
    </w:p>
    <w:p>
      <w:pPr>
        <w:pStyle w:val="5"/>
        <w:spacing w:before="0" w:beforeAutospacing="0" w:after="0" w:afterAutospacing="0" w:line="520" w:lineRule="exact"/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韶关市科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术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pStyle w:val="5"/>
        <w:spacing w:before="0" w:beforeAutospacing="0" w:after="0" w:afterAutospacing="0" w:line="520" w:lineRule="exact"/>
        <w:ind w:firstLine="1280" w:firstLineChars="4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承办单位：韶关市高新技术产业促进会</w:t>
      </w:r>
    </w:p>
    <w:p>
      <w:pPr>
        <w:pStyle w:val="5"/>
        <w:spacing w:before="0" w:beforeAutospacing="0" w:after="0" w:afterAutospacing="0" w:line="520" w:lineRule="exact"/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广东瑞和通数据科技有限公司</w:t>
      </w:r>
    </w:p>
    <w:p>
      <w:pPr>
        <w:pStyle w:val="5"/>
        <w:spacing w:before="0" w:beforeAutospacing="0" w:after="0" w:afterAutospacing="0" w:line="520" w:lineRule="exact"/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52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培训内容：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520" w:lineRule="exact"/>
        <w:ind w:left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市税务局关于高新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企业研发费用加计扣除政策解读；（14：00—15：00）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（二）高新技术企业的日常管理及到期高企重新认定申报注意事项（15：00—15：50）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（三）企业研发项目过程管理及研发费用的归集核算（15：50—16：30）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（四）运用信息化手段对研发进行日常管理及研发管理云平台简介（16：30—17：00）</w:t>
      </w:r>
    </w:p>
    <w:p>
      <w:pPr>
        <w:pStyle w:val="5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（五）韶关市高新技术产品评定申报解读（17：00—17：30）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pStyle w:val="5"/>
        <w:spacing w:before="0" w:beforeAutospacing="0" w:after="0" w:afterAutospacing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六、参会要求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请与会单位组织相关人员报名参加，于10月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日前将参会回执（见附件）发送至韶关市高新技术产业促进会电子邮箱</w:t>
      </w:r>
      <w:r>
        <w:rPr>
          <w:rFonts w:hint="eastAsia" w:ascii="仿宋" w:hAnsi="仿宋" w:eastAsia="仿宋" w:cs="仿宋"/>
          <w:color w:val="1F497D"/>
          <w:sz w:val="32"/>
          <w:szCs w:val="32"/>
          <w:u w:val="single"/>
        </w:rPr>
        <w:t>shaoguangaocuhui163.com</w:t>
      </w:r>
      <w:r>
        <w:rPr>
          <w:rFonts w:hint="eastAsia" w:ascii="仿宋" w:hAnsi="仿宋" w:eastAsia="仿宋" w:cs="仿宋"/>
          <w:color w:val="1F497D"/>
          <w:sz w:val="32"/>
          <w:szCs w:val="32"/>
        </w:rPr>
        <w:t>。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请与会人员佩戴口罩，提前准备好“粤康码”，进入培训会场需测量体温、查验“粤康码”，前14天内如有与疫情严重地区人员接触史、疫情严重地区驻留史或其他疑似情况的，请更换其他人员参加。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本次培训免费。参会人员食宿、交通费用自理</w:t>
      </w:r>
    </w:p>
    <w:p>
      <w:pPr>
        <w:pStyle w:val="5"/>
        <w:spacing w:before="0" w:beforeAutospacing="0" w:after="0" w:afterAutospacing="0"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七、联系方式</w:t>
      </w:r>
    </w:p>
    <w:p>
      <w:pPr>
        <w:pStyle w:val="5"/>
        <w:spacing w:before="0" w:beforeAutospacing="0" w:after="0" w:afterAutospacing="0" w:line="520" w:lineRule="exact"/>
        <w:ind w:left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韶关市高新技术产业促进会：李小姐，联系电话：0751-8885510；13415684243，18027748088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附件：2021年韶关市高新技术企业申报及日常管理政策培训班回执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bookmarkStart w:id="0" w:name="_GoBack"/>
      <w:bookmarkEnd w:id="0"/>
    </w:p>
    <w:p>
      <w:pPr>
        <w:snapToGrid w:val="0"/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广东省高新技术企业协会</w:t>
      </w:r>
    </w:p>
    <w:p>
      <w:pPr>
        <w:snapToGrid w:val="0"/>
        <w:spacing w:line="52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52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Style w:val="6"/>
          <w:rFonts w:hint="eastAsia" w:ascii="宋体" w:hAnsi="宋体" w:cs="宋体"/>
          <w:b/>
          <w:bCs/>
          <w:sz w:val="36"/>
          <w:szCs w:val="36"/>
        </w:rPr>
      </w:pPr>
      <w:r>
        <w:rPr>
          <w:rStyle w:val="6"/>
          <w:rFonts w:hint="eastAsia" w:ascii="宋体" w:hAnsi="宋体" w:cs="宋体"/>
          <w:b/>
          <w:bCs/>
          <w:sz w:val="36"/>
          <w:szCs w:val="36"/>
        </w:rPr>
        <w:t>2021年高新技术企业申报及日常管理政策培训班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回执</w:t>
      </w:r>
    </w:p>
    <w:tbl>
      <w:tblPr>
        <w:tblStyle w:val="2"/>
        <w:tblW w:w="10908" w:type="dxa"/>
        <w:tblInd w:w="-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3306"/>
        <w:gridCol w:w="2325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8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89781"/>
    <w:multiLevelType w:val="singleLevel"/>
    <w:tmpl w:val="AE489781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C93E3E86"/>
    <w:multiLevelType w:val="singleLevel"/>
    <w:tmpl w:val="C93E3E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A2AEF83"/>
    <w:multiLevelType w:val="singleLevel"/>
    <w:tmpl w:val="FA2AEF83"/>
    <w:lvl w:ilvl="0" w:tentative="0">
      <w:start w:val="1"/>
      <w:numFmt w:val="chineseCounting"/>
      <w:suff w:val="space"/>
      <w:lvlText w:val="%1、"/>
      <w:lvlJc w:val="left"/>
      <w:pPr>
        <w:ind w:left="560" w:firstLine="0"/>
      </w:pPr>
      <w:rPr>
        <w:rFonts w:hint="eastAsia"/>
        <w:b/>
        <w:bCs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40C0"/>
    <w:rsid w:val="10DA0C06"/>
    <w:rsid w:val="211B3109"/>
    <w:rsid w:val="260B5E17"/>
    <w:rsid w:val="2C321630"/>
    <w:rsid w:val="37634489"/>
    <w:rsid w:val="38D91D3C"/>
    <w:rsid w:val="3C280B19"/>
    <w:rsid w:val="3F0800F6"/>
    <w:rsid w:val="420769F4"/>
    <w:rsid w:val="487412DE"/>
    <w:rsid w:val="4E250584"/>
    <w:rsid w:val="52A94EFF"/>
    <w:rsid w:val="5A1B2DC9"/>
    <w:rsid w:val="5A2737B0"/>
    <w:rsid w:val="5A36682A"/>
    <w:rsid w:val="5C940143"/>
    <w:rsid w:val="5CAE1A92"/>
    <w:rsid w:val="5CBE680C"/>
    <w:rsid w:val="5CC20BF5"/>
    <w:rsid w:val="61AB63B9"/>
    <w:rsid w:val="6323733C"/>
    <w:rsid w:val="645A5DBE"/>
    <w:rsid w:val="691B5978"/>
    <w:rsid w:val="6E6B1ACB"/>
    <w:rsid w:val="78F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15"/>
    <w:basedOn w:val="3"/>
    <w:qFormat/>
    <w:uiPriority w:val="0"/>
    <w:rPr>
      <w:rFonts w:hint="default"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2021-10-18T02:59:00Z</dcterms:created>
  <dc:creator>扮鬼.</dc:creator>
  <cp:lastModifiedBy>扮鬼.</cp:lastModifiedBy>
  <dcterms:modified xsi:type="dcterms:W3CDTF">2021-10-18T07:05:11Z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A59E463E08F248989A68D6F2BBC56087</vt:lpwstr>
  </property>
</Properties>
</file>